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E" w:rsidRPr="00181F64" w:rsidRDefault="00181F64" w:rsidP="00181F64">
      <w:pPr>
        <w:spacing w:after="0" w:line="360" w:lineRule="auto"/>
        <w:jc w:val="both"/>
        <w:rPr>
          <w:sz w:val="24"/>
          <w:szCs w:val="24"/>
        </w:rPr>
      </w:pPr>
      <w:r w:rsidRPr="00181F64">
        <w:rPr>
          <w:b/>
          <w:sz w:val="28"/>
          <w:szCs w:val="28"/>
          <w:u w:val="single"/>
        </w:rPr>
        <w:t>Uwaga</w:t>
      </w:r>
      <w:r w:rsidRPr="0018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 xml:space="preserve">Realizator programu uprzejmie informuje studentów, że zgodnie z wytycznymi zawartymi w ,, Kierunkach działań oraz warunkami brzegowymi obowiązującymi realizatorów pilotażowego programu ,, Aktywny samorząd ‘’ w 2016roku’’( Załącznik </w:t>
      </w:r>
      <w:r w:rsidR="002C6F8A">
        <w:rPr>
          <w:sz w:val="24"/>
          <w:szCs w:val="24"/>
        </w:rPr>
        <w:br/>
      </w:r>
      <w:r>
        <w:rPr>
          <w:sz w:val="24"/>
          <w:szCs w:val="24"/>
        </w:rPr>
        <w:t>do uchwały nr 48/2016 Zarządu PFRON z dn. 18.10.2016r., ust. 13 pkt. 2) wypłacenie drugiej transzy dofinansowania kosztów nauki następuje po przekazaniu realizatorowi programu informacji o zaliczeniu przez wnioskodawcę semestru objętego dofinansowaniem (przykładowo : zaświadczenie z uczelni, wpis na kolejny semestr, informacja o dopuszczeniu do sesji egzaminacyjnej itd.) lub po złożeniu zaświadczenia z uczelni, że wnioskodawca uczęszczał na zajęcia objęte planem/programem studiów, a przypadku przewodu doktorskiego, po złożeniu zaświadczenia, że wnioskodawca realizuje przewód doktorski, zgodnie z przyjętym harmonogramem.</w:t>
      </w:r>
    </w:p>
    <w:sectPr w:rsidR="00F37B9E" w:rsidRPr="00181F64" w:rsidSect="00F3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F64"/>
    <w:rsid w:val="00181F64"/>
    <w:rsid w:val="002C6F8A"/>
    <w:rsid w:val="00F3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2017-02-28T10:36:00Z</dcterms:created>
  <dcterms:modified xsi:type="dcterms:W3CDTF">2017-02-28T10:46:00Z</dcterms:modified>
</cp:coreProperties>
</file>