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1210" w14:textId="69AE7E77" w:rsidR="00326664" w:rsidRDefault="00A50CDD" w:rsidP="00A50CDD">
      <w:pPr>
        <w:pStyle w:val="Nagwek1"/>
      </w:pPr>
      <w:r>
        <w:t>Zarządzenie nr 5.2021 Dyrektora Powiatowego Centrum Pomocy Rodzinie w Olkuszu z dnia 23.02.2021r.</w:t>
      </w:r>
    </w:p>
    <w:p w14:paraId="66368ACC" w14:textId="798B0E6C" w:rsidR="00A50CDD" w:rsidRDefault="00A50CDD" w:rsidP="00A50CDD">
      <w:pPr>
        <w:rPr>
          <w:lang w:eastAsia="ar-SA"/>
        </w:rPr>
      </w:pPr>
      <w:r>
        <w:rPr>
          <w:lang w:eastAsia="ar-SA"/>
        </w:rPr>
        <w:t xml:space="preserve">w sprawie wprowadzenia zasad dotyczących wyboru, dofinansowania i rozliczania wniosków o dofinansowanie w ramach modułu I </w:t>
      </w:r>
      <w:proofErr w:type="spellStart"/>
      <w:r>
        <w:rPr>
          <w:lang w:eastAsia="ar-SA"/>
        </w:rPr>
        <w:t>i</w:t>
      </w:r>
      <w:proofErr w:type="spellEnd"/>
      <w:r>
        <w:rPr>
          <w:lang w:eastAsia="ar-SA"/>
        </w:rPr>
        <w:t xml:space="preserve"> II pilotażowego programu ,, Aktywny samorząd ‘’ realizowanego przez Powiatowe Centrum Pomocy Rodzinie w Olkuszu</w:t>
      </w:r>
    </w:p>
    <w:p w14:paraId="66B54FC6" w14:textId="1CD8422A" w:rsidR="00A50CDD" w:rsidRDefault="00A50CDD" w:rsidP="00A50CDD">
      <w:pPr>
        <w:rPr>
          <w:lang w:eastAsia="ar-SA"/>
        </w:rPr>
      </w:pPr>
      <w:r>
        <w:rPr>
          <w:lang w:eastAsia="ar-SA"/>
        </w:rPr>
        <w:t>Działając na podstawie § 3 ust. 3 Regulaminu Organizacy</w:t>
      </w:r>
      <w:r w:rsidR="002932D5">
        <w:rPr>
          <w:lang w:eastAsia="ar-SA"/>
        </w:rPr>
        <w:t>j</w:t>
      </w:r>
      <w:r>
        <w:rPr>
          <w:lang w:eastAsia="ar-SA"/>
        </w:rPr>
        <w:t>nego Powiatowego Centrum Pomocy Rodzinie w Olkuszu ustalam :</w:t>
      </w:r>
    </w:p>
    <w:p w14:paraId="2F6EF690" w14:textId="68F9E164" w:rsidR="00214B03" w:rsidRDefault="00214B03" w:rsidP="00214B03">
      <w:pPr>
        <w:jc w:val="center"/>
        <w:rPr>
          <w:lang w:eastAsia="ar-SA"/>
        </w:rPr>
      </w:pPr>
      <w:r>
        <w:rPr>
          <w:lang w:eastAsia="ar-SA"/>
        </w:rPr>
        <w:t>§ 1</w:t>
      </w:r>
    </w:p>
    <w:p w14:paraId="0E3BC5D8" w14:textId="4C36B0E8" w:rsidR="002932D5" w:rsidRDefault="002932D5" w:rsidP="002932D5">
      <w:pPr>
        <w:pStyle w:val="Nagwek2"/>
        <w:jc w:val="center"/>
      </w:pPr>
      <w:r>
        <w:t xml:space="preserve">Zasady dotyczące wyboru, dofinansowania i rozliczania wniosków o dofinansowanie w ramach modułu I </w:t>
      </w:r>
      <w:proofErr w:type="spellStart"/>
      <w:r>
        <w:t>i</w:t>
      </w:r>
      <w:proofErr w:type="spellEnd"/>
      <w:r>
        <w:t xml:space="preserve"> II pilotażowego programu ,, Aktywny samorząd ‘’ :</w:t>
      </w:r>
    </w:p>
    <w:p w14:paraId="692D9AA2" w14:textId="4FC6D0B5" w:rsidR="002932D5" w:rsidRDefault="002932D5" w:rsidP="002932D5">
      <w:pPr>
        <w:pStyle w:val="Akapitzlist"/>
        <w:numPr>
          <w:ilvl w:val="0"/>
          <w:numId w:val="2"/>
        </w:numPr>
        <w:ind w:left="357" w:hanging="357"/>
      </w:pPr>
      <w:r>
        <w:t>Procedura przyjmowania wniosków złożonych w ramach pilotażowego programu ,, Aktywny samorząd ‘’ odbywa się w 2021 r. w oparciu o :</w:t>
      </w:r>
    </w:p>
    <w:p w14:paraId="19419549" w14:textId="7C25EC1E" w:rsidR="002932D5" w:rsidRDefault="0049321B" w:rsidP="002932D5">
      <w:pPr>
        <w:pStyle w:val="Akapitzlist"/>
        <w:numPr>
          <w:ilvl w:val="0"/>
          <w:numId w:val="3"/>
        </w:numPr>
        <w:ind w:left="714" w:hanging="357"/>
      </w:pPr>
      <w:r>
        <w:t>u</w:t>
      </w:r>
      <w:r w:rsidR="002932D5">
        <w:t xml:space="preserve">chwałę nr 11/2018 Rady Nadzorczej PFRON z dnia 10 grudnia </w:t>
      </w:r>
      <w:r>
        <w:t xml:space="preserve">2018 r. </w:t>
      </w:r>
      <w:r w:rsidR="002932D5">
        <w:t>w sprawie realizacji pilotażowego programu ,, Aktywny samorząd’’,</w:t>
      </w:r>
    </w:p>
    <w:p w14:paraId="1F8D7A57" w14:textId="6C2C28A2" w:rsidR="002932D5" w:rsidRDefault="0049321B" w:rsidP="002932D5">
      <w:pPr>
        <w:pStyle w:val="Akapitzlist"/>
        <w:numPr>
          <w:ilvl w:val="0"/>
          <w:numId w:val="3"/>
        </w:numPr>
        <w:ind w:left="714" w:hanging="357"/>
      </w:pPr>
      <w:r>
        <w:t xml:space="preserve">Zasady dotyczące wyboru, dofinansowania i rozliczania wniosków o dofinansowanie w ramach modułu I </w:t>
      </w:r>
      <w:proofErr w:type="spellStart"/>
      <w:r>
        <w:t>i</w:t>
      </w:r>
      <w:proofErr w:type="spellEnd"/>
      <w:r>
        <w:t xml:space="preserve"> II pilotażowego programu ,, Aktywny samorząd</w:t>
      </w:r>
      <w:r w:rsidR="00210F0B">
        <w:t xml:space="preserve"> ’’</w:t>
      </w:r>
      <w:r>
        <w:t xml:space="preserve">; stanowiące załącznik nr 1 do uchwały nr 15/2013 Zarządu PFRON z dnia 22 lutego 2013 r. z </w:t>
      </w:r>
      <w:proofErr w:type="spellStart"/>
      <w:r>
        <w:t>późn</w:t>
      </w:r>
      <w:proofErr w:type="spellEnd"/>
      <w:r>
        <w:t>. zm.,</w:t>
      </w:r>
    </w:p>
    <w:p w14:paraId="0978CE3D" w14:textId="728D1309" w:rsidR="0049321B" w:rsidRDefault="00210F0B" w:rsidP="002932D5">
      <w:pPr>
        <w:pStyle w:val="Akapitzlist"/>
        <w:numPr>
          <w:ilvl w:val="0"/>
          <w:numId w:val="3"/>
        </w:numPr>
        <w:ind w:left="714" w:hanging="357"/>
      </w:pPr>
      <w:r>
        <w:t>d</w:t>
      </w:r>
      <w:r w:rsidR="0049321B">
        <w:t>okumentu pn. ,, Kierunki działań programu oraz warunki brzegowe obowiązujące Realizatorów pilotażowego programu ,, Aktywny samorząd ‘’ w 2021 r. (załącznik do uchwały nr 2 / 2021 Zarządu PFRON z dnia 11 stycznia 2021 r.</w:t>
      </w:r>
      <w:r w:rsidR="00D4043E">
        <w:t>)</w:t>
      </w:r>
      <w:r w:rsidR="0049321B">
        <w:t>,</w:t>
      </w:r>
    </w:p>
    <w:p w14:paraId="1BB0E519" w14:textId="5422A177" w:rsidR="0049321B" w:rsidRDefault="00D4043E" w:rsidP="002932D5">
      <w:pPr>
        <w:pStyle w:val="Akapitzlist"/>
        <w:numPr>
          <w:ilvl w:val="0"/>
          <w:numId w:val="3"/>
        </w:numPr>
        <w:ind w:left="714" w:hanging="357"/>
      </w:pPr>
      <w:r>
        <w:t>z</w:t>
      </w:r>
      <w:r w:rsidR="0049321B">
        <w:t>ałączniki i materiały informacyjne, uchwały oraz interpretacje dotyczące programu ,, Aktywny samorząd ‘’ przekazywane przez PFRON,</w:t>
      </w:r>
    </w:p>
    <w:p w14:paraId="2DF2A08E" w14:textId="66A7B241" w:rsidR="0049321B" w:rsidRDefault="0049321B" w:rsidP="002932D5">
      <w:pPr>
        <w:pStyle w:val="Akapitzlist"/>
        <w:numPr>
          <w:ilvl w:val="0"/>
          <w:numId w:val="3"/>
        </w:numPr>
        <w:ind w:left="714" w:hanging="357"/>
      </w:pPr>
      <w:r>
        <w:t xml:space="preserve">rozporządzenie Ministra Pracy i Polityki Społecznej z dnia 25 czerwca 2002 r. w sprawie określenia rodzajów zadań powiatu, które mogą być finansowane ze środków PFRON (Dz. U z 2015 r., poz. 926 z </w:t>
      </w:r>
      <w:proofErr w:type="spellStart"/>
      <w:r>
        <w:t>późn</w:t>
      </w:r>
      <w:proofErr w:type="spellEnd"/>
      <w:r>
        <w:t>. zm.).</w:t>
      </w:r>
    </w:p>
    <w:p w14:paraId="4A6E4400" w14:textId="77777777" w:rsidR="003B0AFF" w:rsidRDefault="003B0AFF" w:rsidP="003B0AFF">
      <w:pPr>
        <w:pStyle w:val="Akapitzlist"/>
        <w:ind w:left="714"/>
      </w:pPr>
    </w:p>
    <w:p w14:paraId="14B21C59" w14:textId="6B9EA53B" w:rsidR="003B0AFF" w:rsidRDefault="003B0AFF" w:rsidP="003B0AFF">
      <w:pPr>
        <w:pStyle w:val="Akapitzlist"/>
        <w:numPr>
          <w:ilvl w:val="0"/>
          <w:numId w:val="2"/>
        </w:numPr>
        <w:ind w:left="357" w:hanging="357"/>
      </w:pPr>
      <w:r>
        <w:t xml:space="preserve">Powiatowe Centrum Pomocy Rodzinie jako Realizator programu uszczegóławia zasady rozpatrywania wniosków, w szczególności dotyczące : </w:t>
      </w:r>
    </w:p>
    <w:p w14:paraId="4035C9C3" w14:textId="7499D85D" w:rsidR="003B0AFF" w:rsidRDefault="003B0AFF" w:rsidP="003B0AFF">
      <w:pPr>
        <w:pStyle w:val="Akapitzlist"/>
        <w:numPr>
          <w:ilvl w:val="0"/>
          <w:numId w:val="4"/>
        </w:numPr>
        <w:ind w:left="714" w:hanging="357"/>
      </w:pPr>
      <w:r>
        <w:t>weryfikacji formalnej i merytorycznej wniosków (w tym kryteria oceny merytorycznej wraz ze sposobem stosowania oceny),</w:t>
      </w:r>
    </w:p>
    <w:p w14:paraId="3DA3BF37" w14:textId="63785951" w:rsidR="003B0AFF" w:rsidRDefault="003B0AFF" w:rsidP="003B0AFF">
      <w:pPr>
        <w:pStyle w:val="Akapitzlist"/>
        <w:numPr>
          <w:ilvl w:val="0"/>
          <w:numId w:val="4"/>
        </w:numPr>
        <w:ind w:left="714" w:hanging="357"/>
      </w:pPr>
      <w:r>
        <w:t>podejmowania i realizacji decyzji o przyznaniu dofinansowania,</w:t>
      </w:r>
    </w:p>
    <w:p w14:paraId="1B075AF6" w14:textId="7746FDC1" w:rsidR="003B0AFF" w:rsidRDefault="003B0AFF" w:rsidP="003B0AFF">
      <w:pPr>
        <w:pStyle w:val="Akapitzlist"/>
        <w:numPr>
          <w:ilvl w:val="0"/>
          <w:numId w:val="4"/>
        </w:numPr>
        <w:ind w:left="714" w:hanging="357"/>
      </w:pPr>
      <w:r>
        <w:t>wyliczania wysokości dofinansowania w module II,</w:t>
      </w:r>
    </w:p>
    <w:p w14:paraId="7981D96F" w14:textId="3989DED1" w:rsidR="003B0AFF" w:rsidRDefault="003B0AFF" w:rsidP="003B0AFF">
      <w:pPr>
        <w:pStyle w:val="Akapitzlist"/>
        <w:numPr>
          <w:ilvl w:val="0"/>
          <w:numId w:val="4"/>
        </w:numPr>
        <w:ind w:left="714" w:hanging="357"/>
      </w:pPr>
      <w:r>
        <w:t>rozliczania przyznanych osobom niepełnosprawnym środków PFRON w sposób umożliwiający ocenę zgodności podejmowanych decyzji z przyjętymi zasadami.</w:t>
      </w:r>
    </w:p>
    <w:p w14:paraId="7935D74E" w14:textId="77777777" w:rsidR="003B0AFF" w:rsidRDefault="003B0AFF" w:rsidP="003B0AFF">
      <w:pPr>
        <w:pStyle w:val="Akapitzlist"/>
        <w:ind w:left="714"/>
      </w:pPr>
    </w:p>
    <w:p w14:paraId="3DFD1BA0" w14:textId="6C289DFB" w:rsidR="003B0AFF" w:rsidRDefault="003B0AFF" w:rsidP="003B0AFF">
      <w:pPr>
        <w:pStyle w:val="Akapitzlist"/>
        <w:numPr>
          <w:ilvl w:val="0"/>
          <w:numId w:val="2"/>
        </w:numPr>
        <w:ind w:left="357" w:hanging="357"/>
      </w:pPr>
      <w:r>
        <w:t xml:space="preserve">Wnioski o dofinansowanie w ramach programu są rejestrowane i obsługiwane w dedykowanym Realizatorom Systemie Obsługi Wsparcia  finansowanego ze środków PFRON. Wnioski złożone w formie papierowej zostaną również ujęte w SOW. Realizator otwiera nabory wniosków o dofinansowanie w 2021r. za pomocą </w:t>
      </w:r>
      <w:r w:rsidR="00440819">
        <w:t>SOW, z użyciem przygotowanych przez PFRON formularzy wniosków o dofinansowanie :</w:t>
      </w:r>
    </w:p>
    <w:p w14:paraId="404A771A" w14:textId="57AFCE48" w:rsidR="00440819" w:rsidRDefault="00440819" w:rsidP="00440819">
      <w:pPr>
        <w:pStyle w:val="Akapitzlist"/>
        <w:numPr>
          <w:ilvl w:val="0"/>
          <w:numId w:val="5"/>
        </w:numPr>
        <w:ind w:left="714" w:hanging="357"/>
      </w:pPr>
      <w:r>
        <w:t>modułu I od dnia 01. 03. 2021 r. do 31. 03. 2021 r.</w:t>
      </w:r>
    </w:p>
    <w:p w14:paraId="1E2AE145" w14:textId="14FD6E96" w:rsidR="00440819" w:rsidRDefault="00440819" w:rsidP="00440819">
      <w:pPr>
        <w:pStyle w:val="Akapitzlist"/>
        <w:numPr>
          <w:ilvl w:val="0"/>
          <w:numId w:val="5"/>
        </w:numPr>
        <w:ind w:left="714" w:hanging="357"/>
      </w:pPr>
      <w:r>
        <w:t>modułu II :</w:t>
      </w:r>
    </w:p>
    <w:p w14:paraId="16E0EDE2" w14:textId="3D7D1DCA" w:rsidR="00440819" w:rsidRDefault="00440819" w:rsidP="00440819">
      <w:pPr>
        <w:pStyle w:val="Akapitzlist"/>
        <w:numPr>
          <w:ilvl w:val="1"/>
          <w:numId w:val="6"/>
        </w:numPr>
        <w:ind w:left="1066" w:hanging="357"/>
      </w:pPr>
      <w:r>
        <w:t>od dnia 01. 03. 2021 r. do 31. 03. 2021 r.  – wnioski dotyczące roku akademickiego 2020 / 2021,</w:t>
      </w:r>
    </w:p>
    <w:p w14:paraId="03ECA228" w14:textId="29CDD848" w:rsidR="00440819" w:rsidRDefault="00440819" w:rsidP="00440819">
      <w:pPr>
        <w:pStyle w:val="Akapitzlist"/>
        <w:numPr>
          <w:ilvl w:val="1"/>
          <w:numId w:val="6"/>
        </w:numPr>
        <w:ind w:left="1066" w:hanging="357"/>
      </w:pPr>
      <w:r>
        <w:t>od 01. 09. 2021 r. do 10. 10. 2021 r. – wnioski dotyczące roku akademickiego 2021 / 2022.</w:t>
      </w:r>
    </w:p>
    <w:p w14:paraId="58EF1660" w14:textId="673A4102" w:rsidR="00440819" w:rsidRDefault="00440819" w:rsidP="00440819">
      <w:pPr>
        <w:pStyle w:val="Akapitzlist"/>
        <w:ind w:left="1066"/>
      </w:pPr>
    </w:p>
    <w:p w14:paraId="40DCC54A" w14:textId="2D4E7A9B" w:rsidR="00440819" w:rsidRDefault="00440819" w:rsidP="00440819">
      <w:pPr>
        <w:pStyle w:val="Akapitzlist"/>
        <w:numPr>
          <w:ilvl w:val="0"/>
          <w:numId w:val="2"/>
        </w:numPr>
        <w:ind w:left="357" w:hanging="357"/>
      </w:pPr>
      <w:r>
        <w:t>Za weryfikację wniosku, merytoryczną ocenę wniosku, przygotowanie umowy, rozliczenie umowy odpowiedzialni są pracownicy Działu ds. Rehabilitacji Osób Niepełnosprawnych.</w:t>
      </w:r>
    </w:p>
    <w:p w14:paraId="36C26A32" w14:textId="77777777" w:rsidR="00054332" w:rsidRDefault="00054332" w:rsidP="00054332">
      <w:pPr>
        <w:pStyle w:val="Akapitzlist"/>
        <w:ind w:left="357"/>
      </w:pPr>
    </w:p>
    <w:p w14:paraId="560AE29D" w14:textId="0B458FFD" w:rsidR="00054332" w:rsidRDefault="00054332" w:rsidP="00440819">
      <w:pPr>
        <w:pStyle w:val="Akapitzlist"/>
        <w:numPr>
          <w:ilvl w:val="0"/>
          <w:numId w:val="2"/>
        </w:numPr>
        <w:ind w:left="357" w:hanging="357"/>
      </w:pPr>
      <w:r>
        <w:t xml:space="preserve">Dyrektor PCPR sprawuje nadzór nad prawidłowością przebiegu procesu rozpatrywania wniosków oraz podejmuje decyzję przyznania lub odmowy dofinansowania w ramach programu. O rozpatrzeniu wniosku Wnioskodawca zostaje powiadomiony pisemnie drogą elektroniczną lub pocztową. </w:t>
      </w:r>
    </w:p>
    <w:p w14:paraId="06B19290" w14:textId="3490B8FF" w:rsidR="00D14FD0" w:rsidRPr="00D14FD0" w:rsidRDefault="00D14FD0" w:rsidP="00D14FD0">
      <w:pPr>
        <w:pStyle w:val="Nagwek2"/>
        <w:jc w:val="center"/>
      </w:pPr>
      <w:r>
        <w:t>MODUŁ I</w:t>
      </w:r>
    </w:p>
    <w:p w14:paraId="1277D31B" w14:textId="09D4CFB4" w:rsidR="006E20D5" w:rsidRDefault="00054332" w:rsidP="00CB0588">
      <w:pPr>
        <w:pStyle w:val="Akapitzlist"/>
        <w:numPr>
          <w:ilvl w:val="0"/>
          <w:numId w:val="2"/>
        </w:numPr>
        <w:ind w:left="357" w:hanging="357"/>
      </w:pPr>
      <w:r>
        <w:t xml:space="preserve">Realizator </w:t>
      </w:r>
      <w:r w:rsidR="00EE6BB1">
        <w:t xml:space="preserve">w ramach modułu I </w:t>
      </w:r>
      <w:r>
        <w:t>przyjmuje punktowy system oceny merytorycznej wniosków</w:t>
      </w:r>
      <w:r w:rsidR="00EE6BB1">
        <w:t>,</w:t>
      </w:r>
      <w:r>
        <w:t xml:space="preserve"> poprzez ustalenie preferencji związanych z realizacją celów programowych i ustanowienie punktacji dla danego limitu środków finansowych PFRON przekazanego w danym roku kalendarzowym</w:t>
      </w:r>
      <w:r w:rsidR="00EE6BB1">
        <w:t>.</w:t>
      </w:r>
      <w:r>
        <w:t xml:space="preserve"> W 2021 roku preferowane są wnioski dotyczące osób niepełnosprawnych, które</w:t>
      </w:r>
    </w:p>
    <w:p w14:paraId="460EBC87" w14:textId="0645DD7A" w:rsidR="006E20D5" w:rsidRDefault="006E20D5" w:rsidP="006E20D5">
      <w:pPr>
        <w:pStyle w:val="Akapitzlist"/>
        <w:ind w:left="357"/>
      </w:pPr>
      <w:r>
        <w:t>według Realizatora :</w:t>
      </w:r>
    </w:p>
    <w:p w14:paraId="414E458C" w14:textId="1A5827C6" w:rsidR="006E20D5" w:rsidRDefault="0078546C" w:rsidP="006E20D5">
      <w:pPr>
        <w:pStyle w:val="Akapitzlist"/>
        <w:numPr>
          <w:ilvl w:val="0"/>
          <w:numId w:val="8"/>
        </w:numPr>
        <w:ind w:left="714" w:hanging="357"/>
      </w:pPr>
      <w:r>
        <w:t>z</w:t>
      </w:r>
      <w:r w:rsidR="006E20D5">
        <w:t xml:space="preserve">amieszkują na terenie wiejskim </w:t>
      </w:r>
      <w:r>
        <w:t>– liczba punktów preferencyjnych wynosi wówczas 5,</w:t>
      </w:r>
    </w:p>
    <w:p w14:paraId="72D75EA2" w14:textId="6B24F644" w:rsidR="0078546C" w:rsidRDefault="0078546C" w:rsidP="006E20D5">
      <w:pPr>
        <w:pStyle w:val="Akapitzlist"/>
        <w:numPr>
          <w:ilvl w:val="0"/>
          <w:numId w:val="8"/>
        </w:numPr>
        <w:ind w:left="714" w:hanging="357"/>
      </w:pPr>
      <w:r>
        <w:t>nie korzystały z dofinansowania w ramach programu ,,Aktywny samorząd ‘’ – liczba punktów preferencyjnych wynosi wówczas 15,</w:t>
      </w:r>
    </w:p>
    <w:p w14:paraId="0A288DC4" w14:textId="65E0BB86" w:rsidR="0078546C" w:rsidRDefault="0078546C" w:rsidP="006E20D5">
      <w:pPr>
        <w:pStyle w:val="Akapitzlist"/>
        <w:numPr>
          <w:ilvl w:val="0"/>
          <w:numId w:val="8"/>
        </w:numPr>
        <w:ind w:left="714" w:hanging="357"/>
      </w:pPr>
      <w:r>
        <w:t xml:space="preserve">są samotne – liczba punktów preferencyjnych wynosi wówczas </w:t>
      </w:r>
      <w:r w:rsidR="00B37AF2">
        <w:t>8</w:t>
      </w:r>
      <w:r>
        <w:t>,</w:t>
      </w:r>
    </w:p>
    <w:p w14:paraId="3FE730CD" w14:textId="65426A48" w:rsidR="0078546C" w:rsidRDefault="0078546C" w:rsidP="006E20D5">
      <w:pPr>
        <w:pStyle w:val="Akapitzlist"/>
        <w:numPr>
          <w:ilvl w:val="0"/>
          <w:numId w:val="8"/>
        </w:numPr>
        <w:ind w:left="714" w:hanging="357"/>
      </w:pPr>
      <w:r>
        <w:t xml:space="preserve">studiują – liczba punktów preferencyjnych wynosi wówczas </w:t>
      </w:r>
      <w:r w:rsidR="00B37AF2">
        <w:t>8</w:t>
      </w:r>
      <w:r>
        <w:t>,</w:t>
      </w:r>
    </w:p>
    <w:p w14:paraId="3363F72E" w14:textId="17425834" w:rsidR="0078546C" w:rsidRDefault="0078546C" w:rsidP="006E20D5">
      <w:pPr>
        <w:pStyle w:val="Akapitzlist"/>
        <w:numPr>
          <w:ilvl w:val="0"/>
          <w:numId w:val="8"/>
        </w:numPr>
        <w:ind w:left="714" w:hanging="357"/>
      </w:pPr>
      <w:r>
        <w:t xml:space="preserve">realizują obowiązek szkolny (dzieci i młodzież niepełnosprawna) – liczba punktów preferencyjnych wynosi wówczas </w:t>
      </w:r>
      <w:r w:rsidR="00B37AF2">
        <w:t>5</w:t>
      </w:r>
      <w:r>
        <w:t>,</w:t>
      </w:r>
    </w:p>
    <w:p w14:paraId="1E62AA17" w14:textId="7E62AF05" w:rsidR="0078546C" w:rsidRDefault="00B37AF2" w:rsidP="006E20D5">
      <w:pPr>
        <w:pStyle w:val="Akapitzlist"/>
        <w:numPr>
          <w:ilvl w:val="0"/>
          <w:numId w:val="8"/>
        </w:numPr>
        <w:ind w:left="714" w:hanging="357"/>
      </w:pPr>
      <w:r>
        <w:t>prowadzą wspólne gospodarstwo domowe z inną osoba niepełnosprawną – liczba punktów preferencyjnych wynosi wówczas 3,</w:t>
      </w:r>
    </w:p>
    <w:p w14:paraId="1520F000" w14:textId="2BF49234" w:rsidR="00B37AF2" w:rsidRDefault="00B37AF2" w:rsidP="006E20D5">
      <w:pPr>
        <w:pStyle w:val="Akapitzlist"/>
        <w:numPr>
          <w:ilvl w:val="0"/>
          <w:numId w:val="8"/>
        </w:numPr>
        <w:ind w:left="714" w:hanging="357"/>
      </w:pPr>
      <w:r>
        <w:t>prowadzą wspólne gospodarstwo domowe z więcej niż jedną osobą niepełnosprawną – liczba punktów preferencyjnych wynosi wówczas 6.</w:t>
      </w:r>
    </w:p>
    <w:p w14:paraId="609994F4" w14:textId="7EF43A17" w:rsidR="00B37AF2" w:rsidRDefault="00B37AF2" w:rsidP="00B37AF2">
      <w:pPr>
        <w:pStyle w:val="Akapitzlist"/>
        <w:ind w:left="714"/>
      </w:pPr>
    </w:p>
    <w:p w14:paraId="0374CAAF" w14:textId="5E8FEB72" w:rsidR="006E20D5" w:rsidRDefault="00673EA4" w:rsidP="006E20D5">
      <w:pPr>
        <w:pStyle w:val="Akapitzlist"/>
        <w:numPr>
          <w:ilvl w:val="0"/>
          <w:numId w:val="2"/>
        </w:numPr>
        <w:ind w:left="357" w:hanging="357"/>
      </w:pPr>
      <w:r>
        <w:t>Ocena merytoryczna przeprowadzana jest na Karcie oceny wniosku. Maksymalna ilość otrzymanych punktów</w:t>
      </w:r>
      <w:r w:rsidR="00E67908">
        <w:t xml:space="preserve"> dla Wnioskodawcy wynosi 100</w:t>
      </w:r>
      <w:r w:rsidR="00CB0588">
        <w:t xml:space="preserve"> ( punktacja wynikająca z kryteriów PFRON i Realizatora)</w:t>
      </w:r>
      <w:r w:rsidR="00E67908">
        <w:t xml:space="preserve">. Przyjmuje się minimalny próg punktowy wynoszący 50 punktów dla Wnioskodawcy. </w:t>
      </w:r>
      <w:r w:rsidR="00E67908">
        <w:lastRenderedPageBreak/>
        <w:t xml:space="preserve">W ramach punktowego systemu oceny wniosków tworzy się listę rankingową wniosków, szeregowaną według kolejności wynikającej z uzyskanej oceny merytorycznej. </w:t>
      </w:r>
      <w:r w:rsidR="00333410">
        <w:t>Realizator przyjmuje co najmniej kwartalne cykle realizacji ocenianych merytorycznie wniosków, przy czym wnioski poniżej minimalnego progu punktowego umożliwiającego bieżące udzielanie dofinansowania oraz wnioski, które nie mogą być zrealizowane w danym cyklu ze względu na wysokość aktualnego limitu środków finansowych Realizatora na realizację programu, przechodzą do puli wniosków rozpatrywanych w kolejnym cyklu realizacji wniosków ocenionych merytorycznie.</w:t>
      </w:r>
    </w:p>
    <w:p w14:paraId="48C71D91" w14:textId="77777777" w:rsidR="00333410" w:rsidRDefault="00333410" w:rsidP="00333410">
      <w:pPr>
        <w:pStyle w:val="Akapitzlist"/>
        <w:ind w:left="357"/>
      </w:pPr>
    </w:p>
    <w:p w14:paraId="00B24703" w14:textId="021CCA4C" w:rsidR="00333410" w:rsidRDefault="00333410" w:rsidP="006E20D5">
      <w:pPr>
        <w:pStyle w:val="Akapitzlist"/>
        <w:numPr>
          <w:ilvl w:val="0"/>
          <w:numId w:val="2"/>
        </w:numPr>
        <w:ind w:left="357" w:hanging="357"/>
      </w:pPr>
      <w:r>
        <w:t>W ramach dojazdu osoby niepełnosprawnej na spotkanie z ekspertem PFRON przyjmuje się do rozliczenia koszty dojazdu publicznymi lub prywatnymi środkami transportu</w:t>
      </w:r>
      <w:r w:rsidR="00E25EB4">
        <w:t xml:space="preserve">, przy czym do rozliczenia należy przedłożyć bilety a w drugim przypadku przedłożyć oświadczenie, w którym należy wykazać trasę przejazdu (od – do), liczbę kilometrów, zużycie paliwa / 100 km, cenę paliwa. </w:t>
      </w:r>
    </w:p>
    <w:p w14:paraId="76145766" w14:textId="77777777" w:rsidR="00E25EB4" w:rsidRDefault="00E25EB4" w:rsidP="00E25EB4">
      <w:pPr>
        <w:pStyle w:val="Akapitzlist"/>
      </w:pPr>
    </w:p>
    <w:p w14:paraId="4F7FD4D2" w14:textId="5760BD98" w:rsidR="00E25EB4" w:rsidRDefault="00E25EB4" w:rsidP="006E20D5">
      <w:pPr>
        <w:pStyle w:val="Akapitzlist"/>
        <w:numPr>
          <w:ilvl w:val="0"/>
          <w:numId w:val="2"/>
        </w:numPr>
        <w:ind w:left="357" w:hanging="357"/>
      </w:pPr>
      <w:r>
        <w:t>W przypadku wniosku, który w trakcie jego oceny nasuwa wątpliwości co do możliwości pozytywnej weryfikacji pod względem kryterium dotyczącego rodzaju niepełnosprawności adresata programu lub do celowości wnioskowanego dofinansowania, do podjęcia pozytywnej decyzji wymagana jest pozytywna opinia wydana przez eksperta – lekarza specjalisty o specjalizacji związanej z rodzajem niepełnosprawności adresata programu. Eksperta powołuje Realizator programu.</w:t>
      </w:r>
    </w:p>
    <w:p w14:paraId="4C581C9E" w14:textId="77777777" w:rsidR="00E25EB4" w:rsidRDefault="00E25EB4" w:rsidP="00E25EB4">
      <w:pPr>
        <w:pStyle w:val="Akapitzlist"/>
      </w:pPr>
    </w:p>
    <w:p w14:paraId="35565719" w14:textId="7C666D4D" w:rsidR="00E25EB4" w:rsidRDefault="00E25EB4" w:rsidP="006E20D5">
      <w:pPr>
        <w:pStyle w:val="Akapitzlist"/>
        <w:numPr>
          <w:ilvl w:val="0"/>
          <w:numId w:val="2"/>
        </w:numPr>
        <w:ind w:left="357" w:hanging="357"/>
      </w:pPr>
      <w:r>
        <w:t xml:space="preserve">Przyjmuje się do rozliczenia w ramach Obszaru A, Zadania nr 2 , koszty: </w:t>
      </w:r>
    </w:p>
    <w:p w14:paraId="007C2B6C" w14:textId="450F850E" w:rsidR="00E25EB4" w:rsidRDefault="00D14FD0" w:rsidP="00E25EB4">
      <w:pPr>
        <w:pStyle w:val="Akapitzlist"/>
        <w:numPr>
          <w:ilvl w:val="0"/>
          <w:numId w:val="11"/>
        </w:numPr>
        <w:ind w:left="714" w:hanging="357"/>
      </w:pPr>
      <w:r>
        <w:t>d</w:t>
      </w:r>
      <w:r w:rsidR="00E25EB4">
        <w:t xml:space="preserve">ojazdu pociągiem – do rozliczenia należy przedłożyć bilety kolejowe </w:t>
      </w:r>
      <w:r>
        <w:t>k</w:t>
      </w:r>
      <w:r w:rsidR="00E25EB4">
        <w:t>l.</w:t>
      </w:r>
      <w:r>
        <w:t xml:space="preserve"> </w:t>
      </w:r>
      <w:r w:rsidR="00E25EB4">
        <w:t>II oraz harmonogram kursu i egzaminów na prawo jazdy,</w:t>
      </w:r>
    </w:p>
    <w:p w14:paraId="7D0F7B22" w14:textId="23A06ECD" w:rsidR="00E25EB4" w:rsidRDefault="00D14FD0" w:rsidP="00E25EB4">
      <w:pPr>
        <w:pStyle w:val="Akapitzlist"/>
        <w:numPr>
          <w:ilvl w:val="0"/>
          <w:numId w:val="11"/>
        </w:numPr>
        <w:ind w:left="714" w:hanging="357"/>
      </w:pPr>
      <w:r>
        <w:t>d</w:t>
      </w:r>
      <w:r w:rsidR="00E25EB4">
        <w:t>ojazdu publicznymi</w:t>
      </w:r>
      <w:r>
        <w:t xml:space="preserve"> środkami transportu innymi niż PKP – do rozliczenia Wnioskodawca zobowiązany jest przedłożyć bilety oraz harmonogram kursu i egzaminów na prawo jazdy,</w:t>
      </w:r>
    </w:p>
    <w:p w14:paraId="2F8D51AC" w14:textId="2F15EA93" w:rsidR="00D14FD0" w:rsidRDefault="00D14FD0" w:rsidP="00E25EB4">
      <w:pPr>
        <w:pStyle w:val="Akapitzlist"/>
        <w:numPr>
          <w:ilvl w:val="0"/>
          <w:numId w:val="11"/>
        </w:numPr>
        <w:ind w:left="714" w:hanging="357"/>
      </w:pPr>
      <w:r>
        <w:t>dojazdu prywatnym środkiem transportu – należy przedłożyć harmonogram kursu i egzaminów na prawo jady, oświadczenie, w którym należy wykazać trasę przejazdu (od – do), liczbę kilometrów, zużycie paliwa / 100 km, cenę paliwa.</w:t>
      </w:r>
    </w:p>
    <w:p w14:paraId="1020DBBD" w14:textId="227D585A" w:rsidR="00D14FD0" w:rsidRDefault="00D14FD0" w:rsidP="00D14FD0">
      <w:pPr>
        <w:pStyle w:val="Nagwek2"/>
        <w:jc w:val="center"/>
      </w:pPr>
      <w:r>
        <w:t>Moduł II</w:t>
      </w:r>
    </w:p>
    <w:p w14:paraId="3DB34385" w14:textId="327D24FA" w:rsidR="00D14FD0" w:rsidRDefault="008D7E4E" w:rsidP="00204394">
      <w:pPr>
        <w:pStyle w:val="Akapitzlist"/>
        <w:numPr>
          <w:ilvl w:val="0"/>
          <w:numId w:val="13"/>
        </w:numPr>
        <w:ind w:left="357" w:hanging="357"/>
      </w:pPr>
      <w:r>
        <w:t>W ramach posiadanych środków finansowych dodatek na pokrycie kosztów kształcenia może zostać zwiększony o kryteria określone przez Realizatora nie więcej niż o 700 zł tj. :</w:t>
      </w:r>
    </w:p>
    <w:p w14:paraId="06005740" w14:textId="7770ACA9" w:rsidR="008D7E4E" w:rsidRDefault="006B3BA0" w:rsidP="008D7E4E">
      <w:pPr>
        <w:pStyle w:val="Akapitzlist"/>
        <w:numPr>
          <w:ilvl w:val="0"/>
          <w:numId w:val="14"/>
        </w:numPr>
        <w:ind w:left="714" w:hanging="357"/>
      </w:pPr>
      <w:r>
        <w:t>z tytułu posiadanego orzeczenia / stopień znaczny o kwotę 400 zł, stopień umiarkowany o kwotę 300 zł, w przypadku występowania więcej niż jedna dysfunkcja zwiększa się kwotę o 200 zł.</w:t>
      </w:r>
    </w:p>
    <w:p w14:paraId="155EC52E" w14:textId="47DAE827" w:rsidR="006B3BA0" w:rsidRDefault="006B3BA0" w:rsidP="008D7E4E">
      <w:pPr>
        <w:pStyle w:val="Akapitzlist"/>
        <w:numPr>
          <w:ilvl w:val="0"/>
          <w:numId w:val="14"/>
        </w:numPr>
        <w:ind w:left="714" w:hanging="357"/>
      </w:pPr>
      <w:r>
        <w:t>z tytułu dochodu :</w:t>
      </w:r>
    </w:p>
    <w:p w14:paraId="02CEF9D6" w14:textId="6F9D9C26" w:rsidR="006B3BA0" w:rsidRDefault="006B3BA0" w:rsidP="006B3BA0">
      <w:pPr>
        <w:pStyle w:val="Akapitzlist"/>
        <w:numPr>
          <w:ilvl w:val="0"/>
          <w:numId w:val="15"/>
        </w:numPr>
        <w:ind w:left="1066" w:hanging="357"/>
      </w:pPr>
      <w:r>
        <w:t xml:space="preserve">osoba samotna : </w:t>
      </w:r>
      <w:r w:rsidR="00D3579C">
        <w:t xml:space="preserve">dochód powyżej 1 700 zł – kwota 100 zł, </w:t>
      </w:r>
      <w:r>
        <w:t>dochód od 1</w:t>
      </w:r>
      <w:r w:rsidR="00210F0B">
        <w:t xml:space="preserve"> </w:t>
      </w:r>
      <w:r>
        <w:t>501 zł do 1</w:t>
      </w:r>
      <w:r w:rsidR="00210F0B">
        <w:t xml:space="preserve"> </w:t>
      </w:r>
      <w:r>
        <w:t>700 zł</w:t>
      </w:r>
      <w:r w:rsidR="00D3579C">
        <w:t xml:space="preserve"> -</w:t>
      </w:r>
      <w:r>
        <w:t xml:space="preserve"> kwota </w:t>
      </w:r>
      <w:r w:rsidR="00D3579C">
        <w:t>2</w:t>
      </w:r>
      <w:r>
        <w:t xml:space="preserve">00 zł; </w:t>
      </w:r>
      <w:r w:rsidR="00210F0B">
        <w:t xml:space="preserve">dochód </w:t>
      </w:r>
      <w:r>
        <w:t>od 1</w:t>
      </w:r>
      <w:r w:rsidR="00210F0B">
        <w:t xml:space="preserve"> </w:t>
      </w:r>
      <w:r>
        <w:t>201 zł do 1</w:t>
      </w:r>
      <w:r w:rsidR="00210F0B">
        <w:t xml:space="preserve"> </w:t>
      </w:r>
      <w:r>
        <w:t xml:space="preserve">500 zł – kwota </w:t>
      </w:r>
      <w:r w:rsidR="00D3579C">
        <w:t>3</w:t>
      </w:r>
      <w:r>
        <w:t>00 zł;</w:t>
      </w:r>
      <w:r w:rsidR="00210F0B">
        <w:t xml:space="preserve"> dochód </w:t>
      </w:r>
      <w:r>
        <w:t>poniżej 1</w:t>
      </w:r>
      <w:r w:rsidR="00210F0B">
        <w:t xml:space="preserve"> </w:t>
      </w:r>
      <w:r>
        <w:t>200 zł – kwota 400 zł.</w:t>
      </w:r>
    </w:p>
    <w:p w14:paraId="23CEE8FC" w14:textId="1132C659" w:rsidR="006B3BA0" w:rsidRDefault="006B3BA0" w:rsidP="006B3BA0">
      <w:pPr>
        <w:pStyle w:val="Akapitzlist"/>
        <w:numPr>
          <w:ilvl w:val="0"/>
          <w:numId w:val="15"/>
        </w:numPr>
        <w:ind w:left="1066" w:hanging="357"/>
      </w:pPr>
      <w:r>
        <w:lastRenderedPageBreak/>
        <w:t xml:space="preserve">osoba prowadząca wspólne gospodarstwo domowe : </w:t>
      </w:r>
      <w:r w:rsidR="00D3579C">
        <w:t xml:space="preserve">dochód powyżej 1 400 zł - kwota 100 zł;  </w:t>
      </w:r>
      <w:r>
        <w:t>dochód  od 1</w:t>
      </w:r>
      <w:r w:rsidR="00210F0B">
        <w:t xml:space="preserve"> </w:t>
      </w:r>
      <w:r>
        <w:t>201 zł do 1</w:t>
      </w:r>
      <w:r w:rsidR="00210F0B">
        <w:t xml:space="preserve"> </w:t>
      </w:r>
      <w:r>
        <w:t xml:space="preserve">400 zł – kwota </w:t>
      </w:r>
      <w:r w:rsidR="00D3579C">
        <w:t>2</w:t>
      </w:r>
      <w:r>
        <w:t>00 zł; dochód od 901 zł do 1</w:t>
      </w:r>
      <w:r w:rsidR="00210F0B">
        <w:t xml:space="preserve"> </w:t>
      </w:r>
      <w:r>
        <w:t xml:space="preserve">200 zł - kwota </w:t>
      </w:r>
      <w:r w:rsidR="00D3579C">
        <w:t>3</w:t>
      </w:r>
      <w:r>
        <w:t>00 zł; dochód poniżej 900 zł - kwota 400 zł.</w:t>
      </w:r>
    </w:p>
    <w:p w14:paraId="63F00332" w14:textId="09B77E38" w:rsidR="00214B03" w:rsidRDefault="00214B03" w:rsidP="00214B03">
      <w:pPr>
        <w:pStyle w:val="Akapitzlist"/>
        <w:ind w:left="1066"/>
      </w:pPr>
    </w:p>
    <w:p w14:paraId="5F71D0C8" w14:textId="717DD964" w:rsidR="00214B03" w:rsidRDefault="00214B03" w:rsidP="00214B03">
      <w:pPr>
        <w:pStyle w:val="Akapitzlist"/>
        <w:ind w:left="0"/>
        <w:jc w:val="center"/>
      </w:pPr>
      <w:r>
        <w:t>§ 2</w:t>
      </w:r>
    </w:p>
    <w:p w14:paraId="39ECCE71" w14:textId="4CB88AA9" w:rsidR="00214B03" w:rsidRDefault="00214B03" w:rsidP="00214B03">
      <w:pPr>
        <w:pStyle w:val="Akapitzlist"/>
        <w:ind w:left="1066"/>
        <w:jc w:val="center"/>
      </w:pPr>
    </w:p>
    <w:p w14:paraId="5EAC456B" w14:textId="2BE2587D" w:rsidR="00214B03" w:rsidRDefault="00214B03" w:rsidP="00214B03">
      <w:pPr>
        <w:pStyle w:val="Akapitzlist"/>
        <w:ind w:left="0"/>
      </w:pPr>
      <w:r>
        <w:t>Traci moc Zarządzenie nr 1.2020 Dyrektora Powiatowego centrum Pomocy Rodzinie w Olkuszu z dnia 2</w:t>
      </w:r>
      <w:r w:rsidR="002453C3">
        <w:t>7</w:t>
      </w:r>
      <w:r>
        <w:t>.</w:t>
      </w:r>
      <w:r w:rsidR="002453C3">
        <w:t xml:space="preserve"> </w:t>
      </w:r>
      <w:r>
        <w:t>02.</w:t>
      </w:r>
      <w:r w:rsidR="002453C3">
        <w:t xml:space="preserve"> </w:t>
      </w:r>
      <w:r>
        <w:t>202</w:t>
      </w:r>
      <w:r w:rsidR="002453C3">
        <w:t xml:space="preserve">0 </w:t>
      </w:r>
      <w:r>
        <w:t>r.</w:t>
      </w:r>
    </w:p>
    <w:p w14:paraId="686095F3" w14:textId="5C656F3B" w:rsidR="00214B03" w:rsidRDefault="00214B03" w:rsidP="00214B03">
      <w:pPr>
        <w:pStyle w:val="Akapitzlist"/>
        <w:ind w:left="0"/>
      </w:pPr>
    </w:p>
    <w:p w14:paraId="3A69101D" w14:textId="393902E9" w:rsidR="00214B03" w:rsidRDefault="00214B03" w:rsidP="00214B03">
      <w:pPr>
        <w:pStyle w:val="Akapitzlist"/>
        <w:ind w:left="0"/>
        <w:jc w:val="center"/>
      </w:pPr>
      <w:r>
        <w:t>§ 3</w:t>
      </w:r>
    </w:p>
    <w:p w14:paraId="5B316C0D" w14:textId="120B0C89" w:rsidR="00214B03" w:rsidRDefault="00214B03" w:rsidP="00214B03">
      <w:pPr>
        <w:pStyle w:val="Akapitzlist"/>
        <w:ind w:left="0"/>
        <w:jc w:val="center"/>
      </w:pPr>
    </w:p>
    <w:p w14:paraId="4CECA721" w14:textId="09A65180" w:rsidR="00214B03" w:rsidRPr="00D14FD0" w:rsidRDefault="00214B03" w:rsidP="00214B03">
      <w:pPr>
        <w:pStyle w:val="Akapitzlist"/>
        <w:ind w:left="0"/>
      </w:pPr>
      <w:r>
        <w:t>Zarządzenie wchodzi w życie z dniem wydania.</w:t>
      </w:r>
    </w:p>
    <w:sectPr w:rsidR="00214B03" w:rsidRPr="00D14FD0" w:rsidSect="00A50CDD">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1C4E"/>
    <w:multiLevelType w:val="hybridMultilevel"/>
    <w:tmpl w:val="133A1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34853"/>
    <w:multiLevelType w:val="hybridMultilevel"/>
    <w:tmpl w:val="CD6E93B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22C50AB8"/>
    <w:multiLevelType w:val="hybridMultilevel"/>
    <w:tmpl w:val="B46C0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27E02"/>
    <w:multiLevelType w:val="hybridMultilevel"/>
    <w:tmpl w:val="2E365638"/>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15:restartNumberingAfterBreak="0">
    <w:nsid w:val="2EE41AC6"/>
    <w:multiLevelType w:val="hybridMultilevel"/>
    <w:tmpl w:val="95EAD5D4"/>
    <w:lvl w:ilvl="0" w:tplc="37F8AA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40586"/>
    <w:multiLevelType w:val="hybridMultilevel"/>
    <w:tmpl w:val="44305F0E"/>
    <w:lvl w:ilvl="0" w:tplc="04150011">
      <w:start w:val="1"/>
      <w:numFmt w:val="decimal"/>
      <w:lvlText w:val="%1)"/>
      <w:lvlJc w:val="left"/>
      <w:pPr>
        <w:ind w:left="1077" w:hanging="360"/>
      </w:pPr>
    </w:lvl>
    <w:lvl w:ilvl="1" w:tplc="12A6A8F0">
      <w:start w:val="1"/>
      <w:numFmt w:val="decimalZero"/>
      <w:lvlText w:val="%2."/>
      <w:lvlJc w:val="left"/>
      <w:pPr>
        <w:ind w:left="1812" w:hanging="375"/>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3FB12413"/>
    <w:multiLevelType w:val="hybridMultilevel"/>
    <w:tmpl w:val="3924638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57175C28"/>
    <w:multiLevelType w:val="hybridMultilevel"/>
    <w:tmpl w:val="0B54F58E"/>
    <w:lvl w:ilvl="0" w:tplc="019625AE">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614F4F82"/>
    <w:multiLevelType w:val="hybridMultilevel"/>
    <w:tmpl w:val="EF9016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63D36542"/>
    <w:multiLevelType w:val="hybridMultilevel"/>
    <w:tmpl w:val="CB38E2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CDE5D4B"/>
    <w:multiLevelType w:val="hybridMultilevel"/>
    <w:tmpl w:val="8D683FB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6D756A89"/>
    <w:multiLevelType w:val="hybridMultilevel"/>
    <w:tmpl w:val="974A6EFC"/>
    <w:lvl w:ilvl="0" w:tplc="14CC37F4">
      <w:start w:val="1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C85C8D"/>
    <w:multiLevelType w:val="hybridMultilevel"/>
    <w:tmpl w:val="9CD65FB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6FD76B28"/>
    <w:multiLevelType w:val="hybridMultilevel"/>
    <w:tmpl w:val="4B30050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0"/>
  </w:num>
  <w:num w:numId="2">
    <w:abstractNumId w:val="5"/>
  </w:num>
  <w:num w:numId="3">
    <w:abstractNumId w:val="9"/>
  </w:num>
  <w:num w:numId="4">
    <w:abstractNumId w:val="11"/>
  </w:num>
  <w:num w:numId="5">
    <w:abstractNumId w:val="6"/>
  </w:num>
  <w:num w:numId="6">
    <w:abstractNumId w:val="4"/>
  </w:num>
  <w:num w:numId="7">
    <w:abstractNumId w:val="3"/>
  </w:num>
  <w:num w:numId="8">
    <w:abstractNumId w:val="8"/>
  </w:num>
  <w:num w:numId="9">
    <w:abstractNumId w:val="10"/>
  </w:num>
  <w:num w:numId="10">
    <w:abstractNumId w:val="14"/>
  </w:num>
  <w:num w:numId="11">
    <w:abstractNumId w:val="13"/>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DD"/>
    <w:rsid w:val="00054332"/>
    <w:rsid w:val="001B1787"/>
    <w:rsid w:val="00204394"/>
    <w:rsid w:val="00210F0B"/>
    <w:rsid w:val="00214B03"/>
    <w:rsid w:val="002453C3"/>
    <w:rsid w:val="002932D5"/>
    <w:rsid w:val="002A3C83"/>
    <w:rsid w:val="002A5783"/>
    <w:rsid w:val="002B26B4"/>
    <w:rsid w:val="002D3192"/>
    <w:rsid w:val="00305373"/>
    <w:rsid w:val="00326664"/>
    <w:rsid w:val="00333410"/>
    <w:rsid w:val="003B0AFF"/>
    <w:rsid w:val="00440819"/>
    <w:rsid w:val="0049321B"/>
    <w:rsid w:val="00673EA4"/>
    <w:rsid w:val="006B3BA0"/>
    <w:rsid w:val="006E20D5"/>
    <w:rsid w:val="0078546C"/>
    <w:rsid w:val="008D7E4E"/>
    <w:rsid w:val="0091739C"/>
    <w:rsid w:val="00A50CDD"/>
    <w:rsid w:val="00B37AF2"/>
    <w:rsid w:val="00C56A40"/>
    <w:rsid w:val="00CB0588"/>
    <w:rsid w:val="00D14FD0"/>
    <w:rsid w:val="00D3579C"/>
    <w:rsid w:val="00D4043E"/>
    <w:rsid w:val="00E25EB4"/>
    <w:rsid w:val="00E67908"/>
    <w:rsid w:val="00EE6BB1"/>
    <w:rsid w:val="00EF2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FB58"/>
  <w15:docId w15:val="{A7F6C6BD-5828-4A6D-82FC-4F5982D2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unhideWhenUsed/>
    <w:qFormat/>
    <w:rsid w:val="001B1787"/>
    <w:pPr>
      <w:keepNext/>
      <w:keepLines/>
      <w:spacing w:after="0"/>
      <w:outlineLvl w:val="1"/>
    </w:pPr>
    <w:rPr>
      <w:rFonts w:eastAsiaTheme="majorEastAsia" w:cstheme="majorBidi"/>
      <w:bCs/>
      <w:sz w:val="28"/>
      <w:szCs w:val="26"/>
    </w:rPr>
  </w:style>
  <w:style w:type="paragraph" w:styleId="Nagwek3">
    <w:name w:val="heading 3"/>
    <w:basedOn w:val="Normalny"/>
    <w:next w:val="Normalny"/>
    <w:link w:val="Nagwek3Znak"/>
    <w:uiPriority w:val="9"/>
    <w:unhideWhenUsed/>
    <w:qFormat/>
    <w:rsid w:val="00D14F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Akapitzlist">
    <w:name w:val="List Paragraph"/>
    <w:basedOn w:val="Normalny"/>
    <w:uiPriority w:val="34"/>
    <w:qFormat/>
    <w:rsid w:val="002932D5"/>
    <w:pPr>
      <w:ind w:left="720"/>
      <w:contextualSpacing/>
    </w:pPr>
  </w:style>
  <w:style w:type="character" w:customStyle="1" w:styleId="Nagwek3Znak">
    <w:name w:val="Nagłówek 3 Znak"/>
    <w:basedOn w:val="Domylnaczcionkaakapitu"/>
    <w:link w:val="Nagwek3"/>
    <w:uiPriority w:val="9"/>
    <w:rsid w:val="00D14FD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Desktop\wz&#243;r%20-%20dost&#281;pno&#347;&#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wzór - dostępność</Template>
  <TotalTime>479</TotalTime>
  <Pages>1</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Zarządzenie nr 5.2021 Dyrektora Poawiatowego Centrum Pomocy Rodzinie w Olkuszu z dnia 23.02.2021r.</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5.2021 Dyrektora Poawiatowego Centrum Pomocy Rodzinie w Olkuszu z dnia 23.02.2021r.</dc:title>
  <dc:creator>Jola</dc:creator>
  <cp:lastModifiedBy>Jola</cp:lastModifiedBy>
  <cp:revision>8</cp:revision>
  <cp:lastPrinted>2021-02-23T08:51:00Z</cp:lastPrinted>
  <dcterms:created xsi:type="dcterms:W3CDTF">2021-02-22T09:51:00Z</dcterms:created>
  <dcterms:modified xsi:type="dcterms:W3CDTF">2021-02-23T10:04:00Z</dcterms:modified>
</cp:coreProperties>
</file>